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djustRightInd w:val="0"/>
        <w:snapToGrid w:val="0"/>
        <w:spacing w:line="560" w:lineRule="exact"/>
        <w:ind w:left="0"/>
        <w:rPr>
          <w:rFonts w:ascii="Times New Roman" w:eastAsia="方正黑体_GBK" w:cs="Times New Roman" w:hAnsi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cs="Times New Roman" w:hAnsi="Times New Roman"/>
          <w:color w:val="000000"/>
          <w:sz w:val="32"/>
          <w:szCs w:val="32"/>
        </w:rPr>
        <w:t>附件3</w:t>
      </w:r>
    </w:p>
    <w:p>
      <w:pPr>
        <w:adjustRightInd w:val="0"/>
        <w:snapToGrid w:val="0"/>
        <w:spacing w:line="560" w:lineRule="exact"/>
        <w:ind w:left="0"/>
        <w:rPr>
          <w:rFonts w:ascii="Times New Roman" w:eastAsia="方正黑体_GBK" w:cs="Times New Roman" w:hAnsi="Times New Roman"/>
          <w:color w:val="000000"/>
          <w:sz w:val="32"/>
          <w:szCs w:val="32"/>
        </w:rPr>
      </w:pPr>
    </w:p>
    <w:p>
      <w:pPr>
        <w:adjustRightInd w:val="0"/>
        <w:snapToGrid w:val="0"/>
        <w:spacing w:line="560" w:lineRule="exact"/>
        <w:ind w:left="0"/>
        <w:jc w:val="center"/>
        <w:rPr>
          <w:rFonts w:ascii="Times New Roman" w:eastAsia="方正小标宋_GBK" w:cs="Times New Roman" w:hAnsi="Times New Roman"/>
          <w:sz w:val="44"/>
          <w:szCs w:val="44"/>
        </w:rPr>
      </w:pPr>
      <w:r>
        <w:rPr>
          <w:rFonts w:ascii="Times New Roman" w:eastAsia="方正小标宋_GBK" w:cs="Times New Roman" w:hAnsi="Times New Roman"/>
          <w:sz w:val="44"/>
          <w:szCs w:val="44"/>
        </w:rPr>
        <w:t>途经第三国实施运输途中冷处理补充要求</w:t>
      </w:r>
    </w:p>
    <w:p>
      <w:pPr>
        <w:adjustRightInd w:val="0"/>
        <w:snapToGrid w:val="0"/>
        <w:spacing w:line="560" w:lineRule="exact"/>
        <w:ind w:firstLineChars="200" w:firstLine="640"/>
        <w:jc w:val="center"/>
        <w:rPr>
          <w:rFonts w:ascii="Times New Roman" w:eastAsia="方正小标宋_GBK" w:cs="Times New Roman" w:hAnsi="Times New Roman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cs="Times New Roman" w:hAnsi="Times New Roman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一、</w:t>
      </w:r>
      <w:r>
        <w:rPr>
          <w:rFonts w:ascii="Times New Roman" w:eastAsia="方正黑体_GBK" w:cs="Times New Roman" w:hAnsi="Times New Roman"/>
          <w:kern w:val="0"/>
          <w:sz w:val="32"/>
          <w:szCs w:val="32"/>
        </w:rPr>
        <w:t>监管授权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途经第三国实施运输途中冷处理应在博茨瓦纳共和国土地和农业部（以下称博方）或其授权机构监管下完成，并在每个出口季前由博方向中华人民共和国海关总署提供授权名单。授权名单应在博方出具的植物检疫证书中注明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cs="Times New Roman" w:hAnsi="Times New Roman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sz w:val="32"/>
          <w:szCs w:val="32"/>
        </w:rPr>
        <w:t>二、</w:t>
      </w:r>
      <w:r>
        <w:rPr>
          <w:rFonts w:ascii="Times New Roman" w:eastAsia="方正黑体_GBK" w:cs="Times New Roman" w:hAnsi="Times New Roman"/>
          <w:kern w:val="0"/>
          <w:sz w:val="32"/>
          <w:szCs w:val="32"/>
        </w:rPr>
        <w:t>包装要求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货物加工包装后，需用带有网眼的袋（最大孔径1.6mm）或密封袋罩住整个托盘，并对托盘采用统一格式的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eastAsia="zh-CN"/>
        </w:rPr>
        <w:t>“</w:t>
      </w:r>
      <w:r>
        <w:rPr>
          <w:rFonts w:ascii="Times New Roman" w:eastAsia="方正仿宋_GBK" w:cs="Times New Roman" w:hAnsi="Times New Roman"/>
          <w:kern w:val="0"/>
          <w:sz w:val="32"/>
          <w:szCs w:val="32"/>
        </w:rPr>
        <w:t>识别号</w:t>
      </w:r>
      <w:r>
        <w:rPr>
          <w:rFonts w:ascii="Times New Roman" w:eastAsia="方正仿宋_GBK" w:cs="Times New Roman" w:hAnsi="Times New Roman" w:hint="eastAsia"/>
          <w:kern w:val="0"/>
          <w:sz w:val="32"/>
          <w:szCs w:val="32"/>
          <w:lang w:eastAsia="zh-CN"/>
        </w:rPr>
        <w:t>”</w:t>
      </w:r>
      <w:r>
        <w:rPr>
          <w:rFonts w:ascii="Times New Roman" w:eastAsia="方正仿宋_GBK" w:cs="Times New Roman" w:hAnsi="Times New Roman"/>
          <w:kern w:val="0"/>
          <w:sz w:val="32"/>
          <w:szCs w:val="32"/>
        </w:rPr>
        <w:t>进行标识以便于溯源。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博方应详细注明每批货物所包含的托盘数目及货物编号清单（以下简称货物清单）。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货物清单一式三份，一份以附件形式随附在植物检疫证书中，一份给船运公司以便其验核运抵的货物，另一份给授权的监管人员，并以附件形式随附在冷处理报告中。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cs="Times New Roman" w:hAnsi="Times New Roman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kern w:val="0"/>
          <w:sz w:val="32"/>
          <w:szCs w:val="32"/>
        </w:rPr>
        <w:t>三、出口前检验检疫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  <w:lang w:val="en-CA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货物应经博方或其授权机构按本公告要求开展离境前检验检疫后，方可从包装厂运出到第三国港口实施冷处理。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对所有途经第三国实施运输途中冷处理的货物，博方查验有效期是30天。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cs="Times New Roman" w:hAnsi="Times New Roman"/>
          <w:kern w:val="0"/>
          <w:sz w:val="32"/>
          <w:szCs w:val="32"/>
        </w:rPr>
      </w:pPr>
      <w:r>
        <w:rPr>
          <w:rFonts w:ascii="Times New Roman" w:eastAsia="方正黑体_GBK" w:cs="Times New Roman" w:hAnsi="Times New Roman"/>
          <w:kern w:val="0"/>
          <w:sz w:val="32"/>
          <w:szCs w:val="32"/>
        </w:rPr>
        <w:t>四、船运公司验核与实施冷处理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snapToGrid w:val="0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在博方或其授权机构监管下，船运公司应按货物清单对货物进行验核，同时确保在运抵第三国港口实施预冷处理前，相关货物保持完整，没有被打开或破坏。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船运公司须按本公告要求进行预冷处理，预冷处理结束后下载预冷过程中温度记录。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kern w:val="0"/>
          <w:sz w:val="32"/>
          <w:szCs w:val="32"/>
        </w:rPr>
      </w:pPr>
      <w:r>
        <w:rPr>
          <w:rFonts w:ascii="Times New Roman" w:eastAsia="方正仿宋_GBK" w:cs="Times New Roman" w:hAnsi="Times New Roman"/>
          <w:kern w:val="0"/>
          <w:sz w:val="32"/>
          <w:szCs w:val="32"/>
        </w:rPr>
        <w:t>船运公司应按本公告要求对预冷完成后的货物实施冷处理，并出具冷处理报告。冷处理报告内容至少包括：货物被船运公司核准的时间/日期，预冷处理开始和结束时间，装入冷处理集装箱时间，装箱后的时间与温度等，以及集装箱号和</w:t>
      </w:r>
      <w:r>
        <w:rPr>
          <w:rFonts w:ascii="Times New Roman" w:eastAsia="方正仿宋_GBK" w:cs="Times New Roman" w:hAnsi="Times New Roman"/>
          <w:sz w:val="32"/>
          <w:szCs w:val="32"/>
        </w:rPr>
        <w:t>集装箱封识号</w:t>
      </w:r>
      <w:r>
        <w:rPr>
          <w:rFonts w:ascii="Times New Roman" w:eastAsia="方正仿宋_GBK" w:cs="Times New Roman" w:hAnsi="Times New Roman"/>
          <w:kern w:val="0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Times New Roman" w:eastAsia="方正黑体_GBK" w:cs="Times New Roman" w:hAnsi="Times New Roman"/>
          <w:color w:val="000000"/>
          <w:sz w:val="32"/>
          <w:szCs w:val="32"/>
        </w:rPr>
      </w:pPr>
    </w:p>
    <w:p>
      <w:pPr>
        <w:pStyle w:val="16"/>
        <w:autoSpaceDN/>
        <w:adjustRightInd w:val="0"/>
        <w:snapToGrid w:val="0"/>
        <w:spacing w:after="0" w:line="560" w:lineRule="exact"/>
        <w:ind w:left="0" w:firstLineChars="200" w:firstLine="640"/>
        <w:contextualSpacing/>
        <w:jc w:val="both"/>
        <w:rPr>
          <w:rFonts w:ascii="Times New Roman" w:eastAsia="方正仿宋_GBK" w:cs="Times New Roman" w:hAnsi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Times New Roman"/>
    <w:panose1 w:val="02020603050405020304"/>
    <w:charset w:val="00"/>
    <w:family w:val="auto"/>
    <w:pitch w:val="variable"/>
    <w:sig w:usb0="E0002AFF" w:usb1="C0007841" w:usb2="00000009" w:usb3="00000000" w:csb0="400001FF" w:csb1="FFFF0000"/>
  </w:font>
  <w:font w:name="Arial">
    <w:altName w:val="DejaVu Sans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方正黑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toc 1"/>
    <w:basedOn w:val="0"/>
    <w:autoRedefine/>
    <w:next w:val="0"/>
  </w:style>
  <w:style w:type="paragraph" w:customStyle="1" w:styleId="16">
    <w:name w:val="List Paragraph1"/>
    <w:basedOn w:val="0"/>
    <w:pPr>
      <w:widowControl/>
      <w:spacing w:after="160" w:line="259" w:lineRule="auto"/>
      <w:ind w:left="720"/>
      <w:contextualSpacing/>
      <w:jc w:val="left"/>
    </w:pPr>
    <w:rPr>
      <w:rFonts w:ascii="Calibri" w:eastAsia="宋体" w:cs="Arial" w:hAnsi="Calibri"/>
      <w:kern w:val="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30</TotalTime>
  <Application>Yozo_Office</Application>
  <Pages>2</Pages>
  <Words>623</Words>
  <Characters>628</Characters>
  <Lines>36</Lines>
  <Paragraphs>15</Paragraphs>
  <CharactersWithSpaces>628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zhao_qian2</dc:creator>
  <cp:lastModifiedBy>何可欣</cp:lastModifiedBy>
  <cp:revision>1</cp:revision>
  <dcterms:created xsi:type="dcterms:W3CDTF">2026-10-19T09:17:32Z</dcterms:created>
  <dcterms:modified xsi:type="dcterms:W3CDTF">2026-10-28T07:58:25Z</dcterms:modified>
</cp:coreProperties>
</file>